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подачи заявлений о включении в состав лицензионной комиссии </w:t>
      </w:r>
      <w:r>
        <w:rPr>
          <w:rFonts w:ascii="Times New Roman" w:hAnsi="Times New Roman"/>
          <w:sz w:val="28"/>
        </w:rPr>
        <w:t>для обеспечения деятельности органов государственного жилищного надзора по лицензированию деятельности по управлению многоквартирными домами в Камчатском крае</w:t>
      </w:r>
    </w:p>
    <w:p w14:paraId="04000000">
      <w:pPr>
        <w:pStyle w:val="Style_2"/>
        <w:ind/>
        <w:jc w:val="center"/>
        <w:rPr>
          <w:rFonts w:ascii="Times New Roman" w:hAnsi="Times New Roman"/>
          <w:sz w:val="28"/>
        </w:rPr>
      </w:pPr>
    </w:p>
    <w:p w14:paraId="05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Лицензионная комиссия формируется на постоянно действующей </w:t>
      </w:r>
      <w:r>
        <w:rPr>
          <w:rStyle w:val="Style_2_ch"/>
          <w:rFonts w:ascii="Times New Roman" w:hAnsi="Times New Roman"/>
          <w:sz w:val="28"/>
        </w:rPr>
        <w:t>основе в количестве 9 человек.</w:t>
      </w:r>
    </w:p>
    <w:p w14:paraId="06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В состав Лицензионной комиссии включаются </w:t>
      </w:r>
      <w:r>
        <w:rPr>
          <w:rStyle w:val="Style_2_ch"/>
          <w:rFonts w:ascii="Times New Roman" w:hAnsi="Times New Roman"/>
          <w:sz w:val="28"/>
        </w:rPr>
        <w:t>представители с учетом следующей квоты:</w:t>
      </w:r>
    </w:p>
    <w:p w14:paraId="07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1) саморегулируемых организаций в сфере управления многоквартирными </w:t>
      </w:r>
      <w:r>
        <w:rPr>
          <w:rStyle w:val="Style_2_ch"/>
          <w:rFonts w:ascii="Times New Roman" w:hAnsi="Times New Roman"/>
          <w:sz w:val="28"/>
        </w:rPr>
        <w:t>домами – 2 представителя;</w:t>
      </w:r>
    </w:p>
    <w:p w14:paraId="08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2) общественных объединений, иных некоммерческих организаций, </w:t>
      </w:r>
      <w:r>
        <w:rPr>
          <w:rStyle w:val="Style_2_ch"/>
          <w:rFonts w:ascii="Times New Roman" w:hAnsi="Times New Roman"/>
          <w:sz w:val="28"/>
        </w:rPr>
        <w:t xml:space="preserve">указанных в части 19 статьи 20 Жилищного кодекса Российской Федерации, </w:t>
      </w:r>
      <w:r>
        <w:rPr>
          <w:rStyle w:val="Style_2_ch"/>
          <w:rFonts w:ascii="Times New Roman" w:hAnsi="Times New Roman"/>
          <w:sz w:val="28"/>
        </w:rPr>
        <w:t xml:space="preserve">уставная деятельность которых связана с управлением многоквартирными </w:t>
      </w:r>
      <w:r>
        <w:rPr>
          <w:rStyle w:val="Style_2_ch"/>
          <w:rFonts w:ascii="Times New Roman" w:hAnsi="Times New Roman"/>
          <w:sz w:val="28"/>
        </w:rPr>
        <w:t>домами – 2 представителя;4</w:t>
      </w:r>
    </w:p>
    <w:p w14:paraId="09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3) исполнительных органов Камчатского края, в том числе </w:t>
      </w:r>
      <w:r>
        <w:rPr>
          <w:rStyle w:val="Style_2_ch"/>
          <w:rFonts w:ascii="Times New Roman" w:hAnsi="Times New Roman"/>
          <w:sz w:val="28"/>
        </w:rPr>
        <w:t>Государственной жилищной инспекции Камчатского края – 2 представителя;</w:t>
      </w:r>
    </w:p>
    <w:p w14:paraId="0A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4) совета муниципальных образований Камчатского края – </w:t>
      </w:r>
      <w:r>
        <w:rPr>
          <w:rStyle w:val="Style_2_ch"/>
          <w:rFonts w:ascii="Times New Roman" w:hAnsi="Times New Roman"/>
          <w:sz w:val="28"/>
        </w:rPr>
        <w:t>1 представитель;</w:t>
      </w:r>
    </w:p>
    <w:p w14:paraId="0B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5) должностное лицо, ответственное за профилактику коррупционных и </w:t>
      </w:r>
      <w:r>
        <w:rPr>
          <w:rStyle w:val="Style_2_ch"/>
          <w:rFonts w:ascii="Times New Roman" w:hAnsi="Times New Roman"/>
          <w:sz w:val="28"/>
        </w:rPr>
        <w:t xml:space="preserve">иных правонарушений Государственной жилищной инспекции Камчатского </w:t>
      </w:r>
      <w:r>
        <w:rPr>
          <w:rStyle w:val="Style_2_ch"/>
          <w:rFonts w:ascii="Times New Roman" w:hAnsi="Times New Roman"/>
          <w:sz w:val="28"/>
        </w:rPr>
        <w:t>края (с правом совещательного голоса) – 1 представитель.</w:t>
      </w:r>
    </w:p>
    <w:p w14:paraId="0C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6) Уполномоченного при Губернаторе Камчатского края по защите прав </w:t>
      </w:r>
      <w:r>
        <w:rPr>
          <w:rStyle w:val="Style_2_ch"/>
          <w:rFonts w:ascii="Times New Roman" w:hAnsi="Times New Roman"/>
          <w:sz w:val="28"/>
        </w:rPr>
        <w:t xml:space="preserve">предпринимателей – 1 представитель. </w:t>
      </w:r>
    </w:p>
    <w:p w14:paraId="0D000000">
      <w:pPr>
        <w:ind w:firstLine="0" w:left="709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Кандидат должен соответствовать требованиям:</w:t>
      </w:r>
    </w:p>
    <w:p w14:paraId="0E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1) отсутствие у кандидата неснятой или непогашенной судимости за </w:t>
      </w:r>
      <w:r>
        <w:rPr>
          <w:rStyle w:val="Style_2_ch"/>
          <w:rFonts w:ascii="Times New Roman" w:hAnsi="Times New Roman"/>
          <w:sz w:val="28"/>
        </w:rPr>
        <w:t xml:space="preserve">преступления в сфере экономики, преступления средней тяжести, тяжкие или </w:t>
      </w:r>
      <w:r>
        <w:rPr>
          <w:rStyle w:val="Style_2_ch"/>
          <w:rFonts w:ascii="Times New Roman" w:hAnsi="Times New Roman"/>
          <w:sz w:val="28"/>
        </w:rPr>
        <w:t>особо тяжкие преступления;</w:t>
      </w:r>
    </w:p>
    <w:p w14:paraId="0F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2) в реестре дисквалифицированных лиц отсутствуют сведения о </w:t>
      </w:r>
      <w:r>
        <w:rPr>
          <w:rStyle w:val="Style_2_ch"/>
          <w:rFonts w:ascii="Times New Roman" w:hAnsi="Times New Roman"/>
          <w:sz w:val="28"/>
        </w:rPr>
        <w:t xml:space="preserve">кандидате, либо о не истекшем сроке, в течение которого кандидат считается </w:t>
      </w:r>
      <w:r>
        <w:rPr>
          <w:rStyle w:val="Style_2_ch"/>
          <w:rFonts w:ascii="Times New Roman" w:hAnsi="Times New Roman"/>
          <w:sz w:val="28"/>
        </w:rPr>
        <w:t>подвергнутым административному наказанию в виде дисквалификации.</w:t>
      </w:r>
    </w:p>
    <w:p w14:paraId="10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</w:p>
    <w:p w14:paraId="11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Органом, уполномоченным на прием заявления о включении в состав Лицензионной комиссии и прилагаемых к заявлению документов, является Государственная жилищная инспекция Камчатского края</w:t>
      </w:r>
      <w:r>
        <w:rPr>
          <w:rFonts w:ascii="Times New Roman" w:hAnsi="Times New Roman"/>
          <w:sz w:val="28"/>
        </w:rPr>
        <w:t>.</w:t>
      </w:r>
    </w:p>
    <w:p w14:paraId="12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</w:p>
    <w:p w14:paraId="13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Место нахождения уполномоченного органа: 683024, Камчатский край, </w:t>
      </w:r>
      <w:r>
        <w:rPr>
          <w:rStyle w:val="Style_2_ch"/>
          <w:rFonts w:ascii="Times New Roman" w:hAnsi="Times New Roman"/>
          <w:sz w:val="28"/>
        </w:rPr>
        <w:t>г. Петропавловск-Камчатский, ул. Лукашевского, д. 5.</w:t>
      </w:r>
    </w:p>
    <w:p w14:paraId="14000000">
      <w:pPr>
        <w:ind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Адрес </w:t>
      </w:r>
      <w:r>
        <w:rPr>
          <w:rStyle w:val="Style_2_ch"/>
          <w:rFonts w:ascii="Times New Roman" w:hAnsi="Times New Roman"/>
          <w:sz w:val="28"/>
        </w:rPr>
        <w:t xml:space="preserve">электронной </w:t>
      </w:r>
      <w:r>
        <w:rPr>
          <w:rStyle w:val="Style_2_ch"/>
          <w:rFonts w:ascii="Times New Roman" w:hAnsi="Times New Roman"/>
          <w:sz w:val="28"/>
        </w:rPr>
        <w:t xml:space="preserve">почты </w:t>
      </w:r>
      <w:r>
        <w:rPr>
          <w:rStyle w:val="Style_2_ch"/>
          <w:rFonts w:ascii="Times New Roman" w:hAnsi="Times New Roman"/>
          <w:sz w:val="28"/>
        </w:rPr>
        <w:t xml:space="preserve">уполномоченного </w:t>
      </w:r>
      <w:r>
        <w:rPr>
          <w:rStyle w:val="Style_2_ch"/>
          <w:rFonts w:ascii="Times New Roman" w:hAnsi="Times New Roman"/>
          <w:sz w:val="28"/>
        </w:rPr>
        <w:t xml:space="preserve">органа: </w:t>
      </w: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"mailto:goszhilinspek@kamgov.ru"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>goszhilinspek@kamgov.ru</w:t>
      </w:r>
      <w:r>
        <w:rPr>
          <w:rStyle w:val="Style_3_ch"/>
          <w:rFonts w:ascii="Times New Roman" w:hAnsi="Times New Roman"/>
          <w:sz w:val="28"/>
        </w:rPr>
        <w:fldChar w:fldCharType="end"/>
      </w:r>
      <w:r>
        <w:rPr>
          <w:rStyle w:val="Style_2_ch"/>
          <w:rFonts w:ascii="Times New Roman" w:hAnsi="Times New Roman"/>
          <w:sz w:val="28"/>
        </w:rPr>
        <w:t>.</w:t>
      </w:r>
    </w:p>
    <w:p w14:paraId="15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Лицом, ответственным за прием документов, является начальник отдела </w:t>
      </w:r>
      <w:r>
        <w:rPr>
          <w:rStyle w:val="Style_2_ch"/>
          <w:rFonts w:ascii="Times New Roman" w:hAnsi="Times New Roman"/>
          <w:sz w:val="28"/>
        </w:rPr>
        <w:t xml:space="preserve">лицензирования, правовой и аналитической деятельности Государственной </w:t>
      </w:r>
      <w:r>
        <w:rPr>
          <w:rStyle w:val="Style_2_ch"/>
          <w:rFonts w:ascii="Times New Roman" w:hAnsi="Times New Roman"/>
          <w:sz w:val="28"/>
        </w:rPr>
        <w:t>жилищной инспекции Камчатского края</w:t>
      </w:r>
    </w:p>
    <w:p w14:paraId="16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Контактная информация ответственного лица: адрес – Камчатский край, </w:t>
      </w:r>
      <w:r>
        <w:rPr>
          <w:rStyle w:val="Style_2_ch"/>
          <w:rFonts w:ascii="Times New Roman" w:hAnsi="Times New Roman"/>
          <w:sz w:val="28"/>
        </w:rPr>
        <w:t xml:space="preserve">г. Петропавловск-Камчатский, ул. Лукашевского, д. 5, кабинет 310; телефон – </w:t>
      </w:r>
      <w:r>
        <w:rPr>
          <w:rStyle w:val="Style_2_ch"/>
          <w:rFonts w:ascii="Times New Roman" w:hAnsi="Times New Roman"/>
          <w:sz w:val="28"/>
        </w:rPr>
        <w:t xml:space="preserve">+7(4152) </w:t>
      </w:r>
      <w:r>
        <w:rPr>
          <w:rStyle w:val="Style_2_ch"/>
          <w:rFonts w:ascii="Times New Roman" w:hAnsi="Times New Roman"/>
          <w:sz w:val="28"/>
        </w:rPr>
        <w:t>26-08-64 (4244).</w:t>
      </w:r>
    </w:p>
    <w:p w14:paraId="17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Прием заявлений о включении в состав лицензионной комиссии </w:t>
      </w:r>
      <w:r>
        <w:rPr>
          <w:rFonts w:ascii="Times New Roman" w:hAnsi="Times New Roman"/>
          <w:sz w:val="28"/>
        </w:rPr>
        <w:t xml:space="preserve">для обеспечения деятельности органов государственного жилищного надзора по лицензированию деятельности по управлению многоквартирными домами в Камчатском крае и </w:t>
      </w:r>
      <w:r>
        <w:rPr>
          <w:rFonts w:ascii="Times New Roman" w:hAnsi="Times New Roman"/>
          <w:sz w:val="28"/>
        </w:rPr>
        <w:t>прилагаемых к заявлению документов</w:t>
      </w:r>
      <w:r>
        <w:rPr>
          <w:rFonts w:ascii="Times New Roman" w:hAnsi="Times New Roman"/>
          <w:sz w:val="28"/>
        </w:rPr>
        <w:t xml:space="preserve"> осуществляется в период с 09.00 часов 18.06.2025 по 18.00 часов 01.07.2025 года.</w:t>
      </w:r>
    </w:p>
    <w:p w14:paraId="18000000">
      <w:pPr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Заявление о включении в состав Лицензионной комиссии подается </w:t>
      </w:r>
      <w:r>
        <w:rPr>
          <w:rStyle w:val="Style_2_ch"/>
          <w:rFonts w:ascii="Times New Roman" w:hAnsi="Times New Roman"/>
          <w:sz w:val="28"/>
        </w:rPr>
        <w:t xml:space="preserve">кандидатом на имя </w:t>
      </w:r>
      <w:r>
        <w:rPr>
          <w:rStyle w:val="Style_2_ch"/>
          <w:rFonts w:ascii="Times New Roman" w:hAnsi="Times New Roman"/>
          <w:sz w:val="28"/>
        </w:rPr>
        <w:t xml:space="preserve">Губернатора Камчатского края непосредственно в уполномоченный орган либо </w:t>
      </w:r>
      <w:r>
        <w:rPr>
          <w:rStyle w:val="Style_2_ch"/>
          <w:rFonts w:ascii="Times New Roman" w:hAnsi="Times New Roman"/>
          <w:sz w:val="28"/>
        </w:rPr>
        <w:t xml:space="preserve">направляется в электронной форме в уполномоченный орган с использованием </w:t>
      </w:r>
      <w:r>
        <w:rPr>
          <w:rStyle w:val="Style_2_ch"/>
          <w:rFonts w:ascii="Times New Roman" w:hAnsi="Times New Roman"/>
          <w:sz w:val="28"/>
        </w:rPr>
        <w:t>информационно-телекоммуникационных технологий</w:t>
      </w:r>
    </w:p>
    <w:p w14:paraId="1A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При направлении заявления и документов в форме электронного </w:t>
      </w:r>
      <w:r>
        <w:rPr>
          <w:rStyle w:val="Style_2_ch"/>
          <w:rFonts w:ascii="Times New Roman" w:hAnsi="Times New Roman"/>
          <w:sz w:val="28"/>
        </w:rPr>
        <w:t xml:space="preserve">документа все документы должны быть подписаны электронной цифровой </w:t>
      </w:r>
      <w:r>
        <w:rPr>
          <w:rStyle w:val="Style_2_ch"/>
          <w:rFonts w:ascii="Times New Roman" w:hAnsi="Times New Roman"/>
          <w:sz w:val="28"/>
        </w:rPr>
        <w:t xml:space="preserve">подписью кандидата в соответствии с законодательством Российской </w:t>
      </w:r>
      <w:r>
        <w:rPr>
          <w:rStyle w:val="Style_2_ch"/>
          <w:rFonts w:ascii="Times New Roman" w:hAnsi="Times New Roman"/>
          <w:sz w:val="28"/>
        </w:rPr>
        <w:t>Федерации.</w:t>
      </w:r>
    </w:p>
    <w:p w14:paraId="1B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Уполномоченный орган в течение 10 рабочих дней с даты принятия </w:t>
      </w:r>
      <w:r>
        <w:rPr>
          <w:rFonts w:ascii="Times New Roman" w:hAnsi="Times New Roman"/>
          <w:sz w:val="28"/>
        </w:rPr>
        <w:t xml:space="preserve">заявления и документов, но не позднее окончания рабочего времени 1 рабочего </w:t>
      </w:r>
      <w:r>
        <w:rPr>
          <w:rFonts w:ascii="Times New Roman" w:hAnsi="Times New Roman"/>
          <w:sz w:val="28"/>
        </w:rPr>
        <w:t xml:space="preserve">дня, следующего за днем, установленным для приема заявлений и документов, </w:t>
      </w:r>
      <w:r>
        <w:rPr>
          <w:rFonts w:ascii="Times New Roman" w:hAnsi="Times New Roman"/>
          <w:sz w:val="28"/>
        </w:rPr>
        <w:t xml:space="preserve">предусмотренного абзацем вторым части 6 настоящего Порядка, осуществляет </w:t>
      </w:r>
      <w:r>
        <w:rPr>
          <w:rFonts w:ascii="Times New Roman" w:hAnsi="Times New Roman"/>
          <w:sz w:val="28"/>
        </w:rPr>
        <w:t xml:space="preserve">проверку полноты и достоверности содержащихся в заявлении и документах </w:t>
      </w:r>
      <w:r>
        <w:rPr>
          <w:rFonts w:ascii="Times New Roman" w:hAnsi="Times New Roman"/>
          <w:sz w:val="28"/>
        </w:rPr>
        <w:t xml:space="preserve">сведений, а также отсутствие оснований, препятствующих включению </w:t>
      </w:r>
      <w:r>
        <w:rPr>
          <w:rFonts w:ascii="Times New Roman" w:hAnsi="Times New Roman"/>
          <w:sz w:val="28"/>
        </w:rPr>
        <w:t>кандидата в состав Лицензионной комиссии.</w:t>
      </w:r>
    </w:p>
    <w:p w14:paraId="1C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Проверка отсутствия оснований, препятствующих включению кандидата в </w:t>
      </w:r>
      <w:r>
        <w:rPr>
          <w:rFonts w:ascii="Times New Roman" w:hAnsi="Times New Roman"/>
          <w:sz w:val="28"/>
        </w:rPr>
        <w:t>состав Лицензионной комиссии, осуществляется уполномоченным органом с и</w:t>
      </w:r>
      <w:r>
        <w:rPr>
          <w:rFonts w:ascii="Times New Roman" w:hAnsi="Times New Roman"/>
          <w:sz w:val="28"/>
        </w:rPr>
        <w:t>спользованием межведомственного информационного взаимодействия.</w:t>
      </w:r>
    </w:p>
    <w:p w14:paraId="1D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Сведения, необходимые для проверки отсутствия оснований, </w:t>
      </w:r>
      <w:r>
        <w:rPr>
          <w:rFonts w:ascii="Times New Roman" w:hAnsi="Times New Roman"/>
          <w:sz w:val="28"/>
        </w:rPr>
        <w:t xml:space="preserve">препятствующих включению кандидата в состав Лицензионной комиссии, могут </w:t>
      </w:r>
      <w:r>
        <w:rPr>
          <w:rFonts w:ascii="Times New Roman" w:hAnsi="Times New Roman"/>
          <w:sz w:val="28"/>
        </w:rPr>
        <w:t xml:space="preserve">быть запрошены уполномоченным органом у органов, предоставляющих </w:t>
      </w:r>
      <w:r>
        <w:rPr>
          <w:rFonts w:ascii="Times New Roman" w:hAnsi="Times New Roman"/>
          <w:sz w:val="28"/>
        </w:rPr>
        <w:t xml:space="preserve">государственные услуги, органов, предоставляющих муниципальные услуги, </w:t>
      </w:r>
      <w:r>
        <w:rPr>
          <w:rFonts w:ascii="Times New Roman" w:hAnsi="Times New Roman"/>
          <w:sz w:val="28"/>
        </w:rPr>
        <w:t xml:space="preserve">иных государственных органов, органов местного самоуправления либо </w:t>
      </w:r>
      <w:r>
        <w:rPr>
          <w:rFonts w:ascii="Times New Roman" w:hAnsi="Times New Roman"/>
          <w:sz w:val="28"/>
        </w:rPr>
        <w:t xml:space="preserve">подведомственных государственным органам или органам местного </w:t>
      </w:r>
      <w:r>
        <w:rPr>
          <w:rFonts w:ascii="Times New Roman" w:hAnsi="Times New Roman"/>
          <w:sz w:val="28"/>
        </w:rPr>
        <w:t xml:space="preserve">самоуправления организаций в рамках межведомственного информационного </w:t>
      </w:r>
      <w:r>
        <w:rPr>
          <w:rFonts w:ascii="Times New Roman" w:hAnsi="Times New Roman"/>
          <w:sz w:val="28"/>
        </w:rPr>
        <w:t xml:space="preserve">взаимодействия, предусмотренного Федеральным законом от 27.07.2010 </w:t>
      </w:r>
      <w:r>
        <w:rPr>
          <w:rFonts w:ascii="Times New Roman" w:hAnsi="Times New Roman"/>
          <w:sz w:val="28"/>
        </w:rPr>
        <w:t xml:space="preserve">No 210-ФЗ «Об организации предоставления государственных и муниципальных </w:t>
      </w:r>
      <w:r>
        <w:rPr>
          <w:rFonts w:ascii="Times New Roman" w:hAnsi="Times New Roman"/>
          <w:sz w:val="28"/>
        </w:rPr>
        <w:t>услуг».</w:t>
      </w:r>
    </w:p>
    <w:p w14:paraId="1E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случае, если заявление оформлено с нарушением требований, </w:t>
      </w:r>
      <w:r>
        <w:rPr>
          <w:rFonts w:ascii="Times New Roman" w:hAnsi="Times New Roman"/>
          <w:sz w:val="28"/>
        </w:rPr>
        <w:t xml:space="preserve">установленных в частях 6–8 настоящего Порядка, и (или) документы, которые </w:t>
      </w:r>
      <w:r>
        <w:rPr>
          <w:rFonts w:ascii="Times New Roman" w:hAnsi="Times New Roman"/>
          <w:sz w:val="28"/>
        </w:rPr>
        <w:t xml:space="preserve">должны быть приложены к заявлению, представлены не в полном объеме лицу, </w:t>
      </w:r>
      <w:r>
        <w:rPr>
          <w:rFonts w:ascii="Times New Roman" w:hAnsi="Times New Roman"/>
          <w:sz w:val="28"/>
        </w:rPr>
        <w:t xml:space="preserve">ответственному за прием документов, уполномоченный орган в течение </w:t>
      </w:r>
      <w:r>
        <w:rPr>
          <w:rFonts w:ascii="Times New Roman" w:hAnsi="Times New Roman"/>
          <w:sz w:val="28"/>
        </w:rPr>
        <w:t xml:space="preserve">2 рабочих дней со дня выявления указанных обстоятельств направляет кандидату </w:t>
      </w:r>
      <w:r>
        <w:rPr>
          <w:rFonts w:ascii="Times New Roman" w:hAnsi="Times New Roman"/>
          <w:sz w:val="28"/>
        </w:rPr>
        <w:t xml:space="preserve">уведомление посредством электронной почты о необходимости устранения </w:t>
      </w:r>
      <w:r>
        <w:rPr>
          <w:rFonts w:ascii="Times New Roman" w:hAnsi="Times New Roman"/>
          <w:sz w:val="28"/>
        </w:rPr>
        <w:t xml:space="preserve">выявленных нарушений и (или) представления отсутствующих документов в </w:t>
      </w:r>
      <w:r>
        <w:rPr>
          <w:rFonts w:ascii="Times New Roman" w:hAnsi="Times New Roman"/>
          <w:sz w:val="28"/>
        </w:rPr>
        <w:t xml:space="preserve">течение 5 рабочих дней с даты поступления заявления и документов кандидата, </w:t>
      </w:r>
      <w:r>
        <w:rPr>
          <w:rFonts w:ascii="Times New Roman" w:hAnsi="Times New Roman"/>
          <w:sz w:val="28"/>
        </w:rPr>
        <w:t>но не позднее последнего дня приема документов.</w:t>
      </w:r>
    </w:p>
    <w:p w14:paraId="1F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Кандидат получает отказ во включении в состав Лицензионной </w:t>
      </w:r>
      <w:r>
        <w:rPr>
          <w:rStyle w:val="Style_4_ch"/>
          <w:rFonts w:ascii="Times New Roman" w:hAnsi="Times New Roman"/>
          <w:sz w:val="28"/>
        </w:rPr>
        <w:t>комиссии по следующим основаниям:</w:t>
      </w:r>
    </w:p>
    <w:p w14:paraId="20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1) кандидат не отвечает установленным требованиям;</w:t>
      </w:r>
    </w:p>
    <w:p w14:paraId="21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2) на момент завершения приема документов кандидат не предоставил </w:t>
      </w:r>
      <w:r>
        <w:rPr>
          <w:rStyle w:val="Style_4_ch"/>
          <w:rFonts w:ascii="Times New Roman" w:hAnsi="Times New Roman"/>
          <w:sz w:val="28"/>
        </w:rPr>
        <w:t>полный комплект необходимых документов.</w:t>
      </w:r>
    </w:p>
    <w:p w14:paraId="22000000">
      <w:pPr>
        <w:ind w:firstLine="709" w:left="0"/>
        <w:jc w:val="both"/>
        <w:rPr>
          <w:rFonts w:ascii="Times New Roman" w:hAnsi="Times New Roman"/>
          <w:sz w:val="28"/>
        </w:rPr>
      </w:pPr>
    </w:p>
    <w:p w14:paraId="23000000">
      <w:pPr>
        <w:ind w:firstLine="709" w:left="0"/>
        <w:jc w:val="both"/>
        <w:rPr>
          <w:rFonts w:ascii="Times New Roman" w:hAnsi="Times New Roman"/>
          <w:sz w:val="28"/>
        </w:rPr>
      </w:pPr>
    </w:p>
    <w:p w14:paraId="24000000">
      <w:pPr>
        <w:ind w:firstLine="709" w:left="0"/>
        <w:jc w:val="both"/>
        <w:rPr>
          <w:rFonts w:ascii="Times New Roman" w:hAnsi="Times New Roman"/>
          <w:sz w:val="28"/>
        </w:rPr>
      </w:pPr>
    </w:p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Plain Text"/>
    <w:basedOn w:val="Style_4"/>
    <w:link w:val="Style_6_ch"/>
    <w:pPr>
      <w:spacing w:after="0" w:line="240" w:lineRule="auto"/>
      <w:ind/>
    </w:pPr>
    <w:rPr>
      <w:rFonts w:ascii="Calibri" w:hAnsi="Calibri"/>
    </w:rPr>
  </w:style>
  <w:style w:styleId="Style_6_ch" w:type="character">
    <w:name w:val="Plain Text"/>
    <w:basedOn w:val="Style_4_ch"/>
    <w:link w:val="Style_6"/>
    <w:rPr>
      <w:rFonts w:ascii="Calibri" w:hAnsi="Calibri"/>
    </w:rPr>
  </w:style>
  <w:style w:styleId="Style_7" w:type="paragraph">
    <w:name w:val="toc 4"/>
    <w:next w:val="Style_4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footer"/>
    <w:basedOn w:val="Style_4"/>
    <w:link w:val="Style_1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1_ch" w:type="character">
    <w:name w:val="footer"/>
    <w:basedOn w:val="Style_4_ch"/>
    <w:link w:val="Style_11"/>
    <w:rPr>
      <w:rFonts w:ascii="Times New Roman" w:hAnsi="Times New Roman"/>
      <w:sz w:val="28"/>
    </w:rPr>
  </w:style>
  <w:style w:styleId="Style_12" w:type="paragraph">
    <w:name w:val="List Paragraph"/>
    <w:basedOn w:val="Style_4"/>
    <w:link w:val="Style_12_ch"/>
    <w:pPr>
      <w:ind w:firstLine="0" w:left="720"/>
      <w:contextualSpacing w:val="1"/>
    </w:pPr>
  </w:style>
  <w:style w:styleId="Style_12_ch" w:type="character">
    <w:name w:val="List Paragraph"/>
    <w:basedOn w:val="Style_4_ch"/>
    <w:link w:val="Style_12"/>
  </w:style>
  <w:style w:styleId="Style_13" w:type="paragraph">
    <w:name w:val="docdata"/>
    <w:basedOn w:val="Style_4"/>
    <w:link w:val="Style_13_ch"/>
    <w:pPr>
      <w:spacing w:afterAutospacing="on" w:beforeAutospacing="on" w:line="240" w:lineRule="auto"/>
      <w:ind/>
    </w:pPr>
    <w:rPr>
      <w:rFonts w:ascii="Times New Roman" w:hAnsi="Times New Roman"/>
      <w:color w:val="000000"/>
      <w:sz w:val="24"/>
    </w:rPr>
  </w:style>
  <w:style w:styleId="Style_13_ch" w:type="character">
    <w:name w:val="docdata"/>
    <w:basedOn w:val="Style_4_ch"/>
    <w:link w:val="Style_13"/>
    <w:rPr>
      <w:rFonts w:ascii="Times New Roman" w:hAnsi="Times New Roman"/>
      <w:color w:val="000000"/>
      <w:sz w:val="24"/>
    </w:rPr>
  </w:style>
  <w:style w:styleId="Style_2" w:type="paragraph">
    <w:name w:val="No Spacing"/>
    <w:link w:val="Style_2_ch"/>
    <w:pPr>
      <w:spacing w:after="0" w:line="240" w:lineRule="auto"/>
      <w:ind/>
    </w:pPr>
  </w:style>
  <w:style w:styleId="Style_2_ch" w:type="character">
    <w:name w:val="No Spacing"/>
    <w:link w:val="Style_2"/>
  </w:style>
  <w:style w:styleId="Style_14" w:type="paragraph">
    <w:name w:val="Balloon Text"/>
    <w:basedOn w:val="Style_4"/>
    <w:link w:val="Style_14_ch"/>
    <w:pPr>
      <w:spacing w:after="0" w:line="240" w:lineRule="auto"/>
      <w:ind/>
    </w:pPr>
    <w:rPr>
      <w:rFonts w:ascii="Segoe UI" w:hAnsi="Segoe UI"/>
      <w:sz w:val="18"/>
    </w:rPr>
  </w:style>
  <w:style w:styleId="Style_14_ch" w:type="character">
    <w:name w:val="Balloon Text"/>
    <w:basedOn w:val="Style_4_ch"/>
    <w:link w:val="Style_14"/>
    <w:rPr>
      <w:rFonts w:ascii="Segoe UI" w:hAnsi="Segoe UI"/>
      <w:sz w:val="1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5" w:type="paragraph">
    <w:name w:val="toc 3"/>
    <w:next w:val="Style_4"/>
    <w:link w:val="Style_15_ch"/>
    <w:uiPriority w:val="39"/>
    <w:pPr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Основной шрифт абзаца1"/>
    <w:link w:val="Style_16_ch"/>
  </w:style>
  <w:style w:styleId="Style_16_ch" w:type="character">
    <w:name w:val="Основной шрифт абзаца1"/>
    <w:link w:val="Style_16"/>
  </w:style>
  <w:style w:styleId="Style_17" w:type="paragraph">
    <w:name w:val="heading 5"/>
    <w:next w:val="Style_4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7_ch" w:type="character">
    <w:name w:val="heading 5"/>
    <w:link w:val="Style_17"/>
    <w:rPr>
      <w:rFonts w:ascii="XO Thames" w:hAnsi="XO Thames"/>
      <w:b w:val="1"/>
    </w:rPr>
  </w:style>
  <w:style w:styleId="Style_18" w:type="paragraph">
    <w:name w:val="heading 1"/>
    <w:next w:val="Style_4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3" w:type="paragraph">
    <w:name w:val="Hyperlink"/>
    <w:link w:val="Style_3_ch"/>
    <w:rPr>
      <w:color w:val="0000FF"/>
      <w:u w:val="single"/>
    </w:rPr>
  </w:style>
  <w:style w:styleId="Style_3_ch" w:type="character">
    <w:name w:val="Hyperlink"/>
    <w:link w:val="Style_3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</w:rPr>
  </w:style>
  <w:style w:styleId="Style_19_ch" w:type="character">
    <w:name w:val="Footnote"/>
    <w:link w:val="Style_19"/>
    <w:rPr>
      <w:rFonts w:ascii="XO Thames" w:hAnsi="XO Thames"/>
    </w:rPr>
  </w:style>
  <w:style w:styleId="Style_20" w:type="paragraph">
    <w:name w:val="toc 1"/>
    <w:next w:val="Style_4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toc 9"/>
    <w:next w:val="Style_4"/>
    <w:link w:val="Style_23_ch"/>
    <w:uiPriority w:val="39"/>
    <w:pPr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4"/>
    <w:link w:val="Style_24_ch"/>
    <w:uiPriority w:val="39"/>
    <w:pPr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Гиперссылка1"/>
    <w:basedOn w:val="Style_16"/>
    <w:link w:val="Style_25_ch"/>
    <w:rPr>
      <w:color w:themeColor="hyperlink" w:val="0563C1"/>
      <w:u w:val="single"/>
    </w:rPr>
  </w:style>
  <w:style w:styleId="Style_25_ch" w:type="character">
    <w:name w:val="Гиперссылка1"/>
    <w:basedOn w:val="Style_16_ch"/>
    <w:link w:val="Style_25"/>
    <w:rPr>
      <w:color w:themeColor="hyperlink" w:val="0563C1"/>
      <w:u w:val="single"/>
    </w:rPr>
  </w:style>
  <w:style w:styleId="Style_26" w:type="paragraph">
    <w:name w:val="toc 5"/>
    <w:next w:val="Style_4"/>
    <w:link w:val="Style_26_ch"/>
    <w:uiPriority w:val="39"/>
    <w:pPr>
      <w:ind w:firstLine="0"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Обычный1"/>
    <w:link w:val="Style_27_ch"/>
  </w:style>
  <w:style w:styleId="Style_27_ch" w:type="character">
    <w:name w:val="Обычный1"/>
    <w:link w:val="Style_27"/>
  </w:style>
  <w:style w:styleId="Style_28" w:type="paragraph">
    <w:name w:val="Subtitle"/>
    <w:next w:val="Style_4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4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4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4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3" w:type="table">
    <w:name w:val="Table Grid"/>
    <w:basedOn w:val="Style_3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4" w:type="table">
    <w:name w:val="Сетка таблицы2"/>
    <w:basedOn w:val="Style_3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5" w:type="table">
    <w:name w:val="Сетка таблицы3"/>
    <w:basedOn w:val="Style_32"/>
    <w:pPr>
      <w:spacing w:after="0" w:line="240" w:lineRule="auto"/>
      <w:ind/>
    </w:pPr>
    <w:rPr>
      <w:color w:val="00000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6" w:type="table">
    <w:name w:val="Сетка таблицы1"/>
    <w:basedOn w:val="Style_3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2025-06-17T05:29:29Z</dcterms:modified>
</cp:coreProperties>
</file>