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>
          <w:b w:val="false"/>
        </w:rPr>
      </w:pPr>
      <w:r>
        <w:rPr>
          <w:b w:val="false"/>
          <w:sz w:val="28"/>
        </w:rPr>
        <w:t>Информация</w:t>
      </w:r>
    </w:p>
    <w:p>
      <w:pPr>
        <w:pStyle w:val="Normal"/>
        <w:spacing w:lineRule="auto" w:line="240"/>
        <w:jc w:val="center"/>
        <w:rPr>
          <w:b w:val="false"/>
        </w:rPr>
      </w:pPr>
      <w:r>
        <w:rPr>
          <w:b w:val="false"/>
          <w:sz w:val="28"/>
        </w:rPr>
        <w:t>о реализации проектов жилой застройки на территории Камчатого края</w:t>
      </w:r>
    </w:p>
    <w:p>
      <w:pPr>
        <w:pStyle w:val="Normal"/>
        <w:spacing w:lineRule="auto" w:line="240"/>
        <w:jc w:val="center"/>
        <w:rPr>
          <w:b w:val="false"/>
        </w:rPr>
      </w:pPr>
      <w:r>
        <w:rPr>
          <w:b w:val="false"/>
        </w:rPr>
      </w:r>
    </w:p>
    <w:p>
      <w:pPr>
        <w:pStyle w:val="BodyText"/>
        <w:widowControl/>
        <w:spacing w:lineRule="auto" w:line="240" w:before="0" w:after="0"/>
        <w:ind w:firstLine="737" w:left="0" w:right="0"/>
        <w:jc w:val="both"/>
        <w:rPr/>
      </w:pPr>
      <w:r>
        <w:rPr>
          <w:b w:val="false"/>
        </w:rPr>
        <w:t>На сегодняшний день Камчатский край испытывает острый дефицит жилых площадей. Ориентация на рост численности населения, внутренняя миграция, повышение жилищных стандартов и социальная политика, направленная на улучшение качества жизни граждан, формируют устойчивый спрос на жильё, который требует оперативного и системного подхода.</w:t>
      </w:r>
    </w:p>
    <w:p>
      <w:pPr>
        <w:pStyle w:val="BodyText"/>
        <w:widowControl/>
        <w:spacing w:lineRule="auto" w:line="240" w:before="0" w:after="0"/>
        <w:ind w:firstLine="737" w:left="0" w:right="0"/>
        <w:jc w:val="both"/>
        <w:rPr/>
      </w:pPr>
      <w:r>
        <w:rPr>
          <w:b w:val="false"/>
        </w:rPr>
        <w:t xml:space="preserve">Проекты жилой застройки, реализуемые на территории муниципальных образований в Камчатском крае, представляют собой не только инструмент восполнения дефицита жилья, но и важнейший драйвер комплексного социально-экономического развития. </w:t>
      </w:r>
    </w:p>
    <w:p>
      <w:pPr>
        <w:pStyle w:val="BodyText"/>
        <w:widowControl/>
        <w:spacing w:lineRule="auto" w:line="240" w:before="0" w:after="0"/>
        <w:ind w:firstLine="737" w:left="0" w:right="0"/>
        <w:jc w:val="both"/>
        <w:rPr/>
      </w:pPr>
      <w:r>
        <w:rPr>
          <w:b w:val="false"/>
        </w:rPr>
        <w:t>Наиболее часто на территории региона застройщиками реализуются проекты на свободных земельных участках внутри уже сформированных жилых массивов. Такой подход позволяет:</w:t>
      </w:r>
    </w:p>
    <w:p>
      <w:pPr>
        <w:pStyle w:val="BodyText"/>
        <w:widowControl/>
        <w:spacing w:lineRule="auto" w:line="240" w:before="0" w:after="0"/>
        <w:ind w:firstLine="737" w:left="0" w:right="0"/>
        <w:jc w:val="both"/>
        <w:rPr/>
      </w:pPr>
      <w:r>
        <w:rPr>
          <w:b w:val="false"/>
        </w:rPr>
        <w:t>- сократить расходы бизнеса на подключение к инженерным сетям;</w:t>
      </w:r>
    </w:p>
    <w:p>
      <w:pPr>
        <w:pStyle w:val="BodyText"/>
        <w:widowControl/>
        <w:spacing w:lineRule="auto" w:line="240" w:before="0" w:after="0"/>
        <w:ind w:firstLine="737" w:left="0" w:right="0"/>
        <w:jc w:val="both"/>
        <w:rPr/>
      </w:pPr>
      <w:r>
        <w:rPr>
          <w:b w:val="false"/>
        </w:rPr>
        <w:t>- эффективно использовать существующую городскую инфраструктуру;</w:t>
      </w:r>
    </w:p>
    <w:p>
      <w:pPr>
        <w:pStyle w:val="BodyText"/>
        <w:widowControl/>
        <w:spacing w:lineRule="auto" w:line="240" w:before="0" w:after="0"/>
        <w:ind w:firstLine="737" w:left="0" w:right="0"/>
        <w:jc w:val="both"/>
        <w:rPr/>
      </w:pPr>
      <w:r>
        <w:rPr>
          <w:b w:val="false"/>
        </w:rPr>
        <w:t>- снизить нагрузку на бюджет за счёт минимизации проведения работ, связанных с внесением изменений как в документы территориального планирования, так и в документацию по планировке территории.</w:t>
      </w:r>
    </w:p>
    <w:p>
      <w:pPr>
        <w:pStyle w:val="BodyText"/>
        <w:widowControl/>
        <w:spacing w:lineRule="auto" w:line="240" w:before="0" w:after="0"/>
        <w:ind w:firstLine="737" w:left="0" w:right="0"/>
        <w:jc w:val="both"/>
        <w:rPr/>
      </w:pPr>
      <w:r>
        <w:rPr>
          <w:b w:val="false"/>
        </w:rPr>
        <w:t>Активно ведущаяся застройка также позволяет решать задачи, выходящие за рамки жилищного вопроса. В процессе реализации проектов инвесторы, как правило, берут на себя обязательства по строительству и модернизации инженерной и социальной инфраструктуры, такие как:</w:t>
      </w:r>
    </w:p>
    <w:p>
      <w:pPr>
        <w:pStyle w:val="BodyText"/>
        <w:widowControl/>
        <w:spacing w:lineRule="auto" w:line="240" w:before="0" w:after="0"/>
        <w:ind w:firstLine="737" w:left="0" w:right="0"/>
        <w:jc w:val="both"/>
        <w:rPr/>
      </w:pPr>
      <w:r>
        <w:rPr>
          <w:b w:val="false"/>
        </w:rPr>
        <w:t>- ремонт и строительство подъездных дорог;</w:t>
      </w:r>
    </w:p>
    <w:p>
      <w:pPr>
        <w:pStyle w:val="BodyText"/>
        <w:widowControl/>
        <w:spacing w:lineRule="auto" w:line="240" w:before="0" w:after="0"/>
        <w:ind w:firstLine="737" w:left="0" w:right="0"/>
        <w:jc w:val="both"/>
        <w:rPr/>
      </w:pPr>
      <w:r>
        <w:rPr>
          <w:b w:val="false"/>
        </w:rPr>
        <w:t>- развитие систем электроснабжения и водоснабжения;</w:t>
      </w:r>
    </w:p>
    <w:p>
      <w:pPr>
        <w:pStyle w:val="BodyText"/>
        <w:widowControl/>
        <w:spacing w:lineRule="auto" w:line="240" w:before="0" w:after="0"/>
        <w:ind w:firstLine="737" w:left="0" w:right="0"/>
        <w:jc w:val="both"/>
        <w:rPr/>
      </w:pPr>
      <w:r>
        <w:rPr>
          <w:b w:val="false"/>
        </w:rPr>
        <w:t>- модернизация городской среды (обновление тротуаров, детских площадок, озеленение, благоустройство).</w:t>
      </w:r>
    </w:p>
    <w:p>
      <w:pPr>
        <w:pStyle w:val="BodyText"/>
        <w:widowControl/>
        <w:spacing w:lineRule="auto" w:line="240" w:before="0" w:after="0"/>
        <w:ind w:firstLine="737" w:left="0" w:right="0"/>
        <w:jc w:val="both"/>
        <w:rPr/>
      </w:pPr>
      <w:r>
        <w:rPr>
          <w:b w:val="false"/>
        </w:rPr>
        <w:t>Таким образом, жилищное строительство — это не только квадратные метры, но и новые рабочие места, рост налоговых поступлений в региональный и местные бюджеты, снижение социальной напряженности и повышение инвестиционной привлекательности территорий.</w:t>
      </w:r>
    </w:p>
    <w:p>
      <w:pPr>
        <w:pStyle w:val="BodyText"/>
        <w:widowControl/>
        <w:spacing w:lineRule="auto" w:line="240" w:before="0" w:after="0"/>
        <w:ind w:firstLine="737" w:left="0" w:right="0"/>
        <w:jc w:val="both"/>
        <w:rPr/>
      </w:pPr>
      <w:r>
        <w:rPr>
          <w:b w:val="false"/>
        </w:rPr>
        <w:t>Среди ключевых участников строительного рынка Камчатского края — как якорные застройщики ООО «Русский двор» и ООО «Юсас-строй», так и недавно зашедшие на региональный рынок застройки, но уже ставшие всем известными предприятия ООО СЗ «Регионстройплюс», ООО СЗ «Трест», ООО СЗ «Новые регионы» и другие. Данные компании демонстрируют устойчивую деловую активность и заинтересованность в развитии своих проектов при тесном взаимодействии с исполнительными органами Камчатского края. В условиях ограниченных ресурсов Камчатского края и сложных логистических и климатических особенностей, региональные застройщики ориентируются на максимально эффективное использование каждой строительной площадки, отдавая предпочтение точечной жилой застройке.</w:t>
      </w:r>
    </w:p>
    <w:p>
      <w:pPr>
        <w:pStyle w:val="BodyText"/>
        <w:widowControl/>
        <w:spacing w:lineRule="auto" w:line="240" w:before="0" w:after="0"/>
        <w:ind w:firstLine="737" w:left="0" w:right="0"/>
        <w:jc w:val="both"/>
        <w:rPr/>
      </w:pPr>
      <w:r>
        <w:rPr>
          <w:b w:val="false"/>
        </w:rPr>
        <w:t>По мнению бизнеса в целях развития рынка жилищного строительства Камчатского края особое внимание предлагается уделить следующим вопросам:</w:t>
      </w:r>
    </w:p>
    <w:p>
      <w:pPr>
        <w:pStyle w:val="BodyText"/>
        <w:widowControl/>
        <w:spacing w:lineRule="auto" w:line="240" w:before="0" w:after="0"/>
        <w:ind w:firstLine="737" w:left="0" w:right="0"/>
        <w:jc w:val="both"/>
        <w:rPr/>
      </w:pPr>
      <w:r>
        <w:rPr>
          <w:b w:val="false"/>
        </w:rPr>
        <w:t>- оптимизации механизмов поддержки застройщиков, в том числе предоставления земельных участков под строительство на прозрачной и предсказуемой основе (популяризация механизма предоставления мер государственной поддержки в виде признания инвестиционных проектов масштабными инвестиционными проектами Камчатского края);</w:t>
      </w:r>
    </w:p>
    <w:p>
      <w:pPr>
        <w:pStyle w:val="BodyText"/>
        <w:widowControl/>
        <w:spacing w:lineRule="auto" w:line="240" w:before="0" w:after="0"/>
        <w:ind w:firstLine="737" w:left="0" w:right="0"/>
        <w:jc w:val="both"/>
        <w:rPr/>
      </w:pPr>
      <w:r>
        <w:rPr>
          <w:b w:val="false"/>
        </w:rPr>
        <w:t>- сопровождению проектов на всех этапах — от планирования до ввода в эксплуатацию (в том числе при содействии агентства развития Камчатского края — АО «Корпорация развития Камчатки»);</w:t>
      </w:r>
    </w:p>
    <w:p>
      <w:pPr>
        <w:pStyle w:val="BodyText"/>
        <w:widowControl/>
        <w:spacing w:lineRule="auto" w:line="240" w:before="0" w:after="0"/>
        <w:ind w:firstLine="737" w:left="0" w:right="0"/>
        <w:jc w:val="both"/>
        <w:rPr/>
      </w:pPr>
      <w:r>
        <w:rPr>
          <w:b w:val="false"/>
        </w:rPr>
        <w:t>- возможности эффективного использования земельных участков с высоким инвестиционным потенциалом, которые ранее не рассматривались как площадки под строительство (например, ветхие дома, неиспользуемые дворы, технические зоны, бывшие объекты коммунальной инфраструктуры);</w:t>
      </w:r>
    </w:p>
    <w:p>
      <w:pPr>
        <w:pStyle w:val="BodyText"/>
        <w:widowControl/>
        <w:spacing w:lineRule="auto" w:line="240" w:before="0" w:after="0"/>
        <w:ind w:firstLine="737" w:left="0" w:right="0"/>
        <w:jc w:val="both"/>
        <w:rPr/>
      </w:pPr>
      <w:r>
        <w:rPr>
          <w:b w:val="false"/>
        </w:rPr>
        <w:t>- вовлечению жителей микрорайонов в процесс реализации инвестиционных проектов (организация публичных обсуждений с чётко обозначенными рамками, цифровая платформа для обратной связи и онлайн-голосования);</w:t>
      </w:r>
    </w:p>
    <w:p>
      <w:pPr>
        <w:pStyle w:val="BodyText"/>
        <w:widowControl/>
        <w:spacing w:lineRule="auto" w:line="240" w:before="0" w:after="0"/>
        <w:ind w:firstLine="737" w:left="0" w:right="0"/>
        <w:jc w:val="both"/>
        <w:rPr/>
      </w:pPr>
      <w:r>
        <w:rPr>
          <w:b w:val="false"/>
        </w:rPr>
        <w:t>- программа реновации «по-камчатски» — комплексное обновление жилых кварталов с привлечением частного капитала, включая точечную застройку, благоустройство, социальные объекты.</w:t>
      </w:r>
    </w:p>
    <w:p>
      <w:pPr>
        <w:pStyle w:val="BodyText"/>
        <w:widowControl/>
        <w:spacing w:lineRule="auto" w:line="240" w:before="0" w:after="0"/>
        <w:ind w:firstLine="737" w:left="0" w:right="0"/>
        <w:jc w:val="both"/>
        <w:rPr/>
      </w:pPr>
      <w:r>
        <w:rPr>
          <w:b w:val="false"/>
        </w:rPr>
        <w:t>Необходимо уделить особое внимание развитию точечной застройки жилых районов — это стратегический инструмент, который позволяет Камчатскому краю развиваться без расползания городской черты и чрезмерных затрат на новую инфраструктуру. При должной поддержке региональных органов власти эта модель может стать точкой роста как для строительной отрасли, так и для качества городской среды.</w:t>
      </w:r>
    </w:p>
    <w:p>
      <w:pPr>
        <w:pStyle w:val="BodyText"/>
        <w:widowControl/>
        <w:spacing w:lineRule="auto" w:line="240" w:before="0" w:after="0"/>
        <w:ind w:firstLine="737" w:left="0" w:right="0"/>
        <w:jc w:val="both"/>
        <w:rPr>
          <w:b w:val="false"/>
          <w:strike w:val="false"/>
          <w:dstrike w:val="false"/>
          <w:color w:val="000000"/>
          <w:sz w:val="28"/>
          <w:u w:val="none"/>
        </w:rPr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567" w:gutter="0" w:header="567" w:top="1361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XO Thames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Verdan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sz w:val="24"/>
      </w:rPr>
    </w:pPr>
    <w:r>
      <w:rPr>
        <w:sz w:val="24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1" name="Pictur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/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2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1" path="m0,0l-2147483645,0l-2147483645,-2147483646l0,-2147483646xe" stroked="f" o:allowincell="f" style="position:absolute;margin-left:252.05pt;margin-top:0.05pt;width:6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/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2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">
    <w:name w:val="Heading 1"/>
    <w:basedOn w:val="Normal"/>
    <w:next w:val="Normal"/>
    <w:uiPriority w:val="9"/>
    <w:qFormat/>
    <w:pPr>
      <w:keepNext w:val="true"/>
      <w:spacing w:before="240" w:after="60"/>
      <w:outlineLvl w:val="0"/>
    </w:pPr>
    <w:rPr>
      <w:rFonts w:ascii="Calibri Light" w:hAnsi="Calibri Light"/>
      <w:b/>
      <w:sz w:val="32"/>
    </w:rPr>
  </w:style>
  <w:style w:type="paragraph" w:styleId="Heading2">
    <w:name w:val="Heading 2"/>
    <w:basedOn w:val="Normal"/>
    <w:next w:val="Normal"/>
    <w:uiPriority w:val="9"/>
    <w:qFormat/>
    <w:pPr>
      <w:keepNext w:val="true"/>
      <w:spacing w:before="240" w:after="60"/>
      <w:outlineLvl w:val="1"/>
    </w:pPr>
    <w:rPr>
      <w:rFonts w:ascii="Calibri Light" w:hAnsi="Calibri Light"/>
      <w:b/>
      <w:i/>
    </w:rPr>
  </w:style>
  <w:style w:type="paragraph" w:styleId="Heading3">
    <w:name w:val="Heading 3"/>
    <w:basedOn w:val="Normal"/>
    <w:next w:val="Normal"/>
    <w:uiPriority w:val="9"/>
    <w:qFormat/>
    <w:pPr>
      <w:keepNext w:val="true"/>
      <w:widowControl w:val="false"/>
      <w:jc w:val="center"/>
      <w:outlineLvl w:val="2"/>
    </w:pPr>
    <w:rPr/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styleId="11">
    <w:name w:val="Основной шрифт абзаца11"/>
    <w:link w:val="1113"/>
    <w:qFormat/>
    <w:rPr>
      <w:rFonts w:ascii="Times New Roman" w:hAnsi="Times New Roman"/>
      <w:color w:val="000000"/>
      <w:spacing w:val="0"/>
      <w:sz w:val="20"/>
    </w:rPr>
  </w:style>
  <w:style w:type="character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styleId="Contents21">
    <w:name w:val="Contents 21"/>
    <w:link w:val="Contents22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styleId="111">
    <w:name w:val="Гиперссылка11"/>
    <w:link w:val="1114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styleId="DefaultParagraphFont1">
    <w:name w:val="Default Paragraph Font1"/>
    <w:link w:val="DefaultParagraphFont11"/>
    <w:qFormat/>
    <w:rPr>
      <w:rFonts w:ascii="Times New Roman" w:hAnsi="Times New Roman"/>
      <w:color w:val="000000"/>
      <w:spacing w:val="0"/>
      <w:sz w:val="20"/>
    </w:rPr>
  </w:style>
  <w:style w:type="character" w:styleId="Subtitle1">
    <w:name w:val="Subtitle1"/>
    <w:link w:val="Subtitle11"/>
    <w:qFormat/>
    <w:rPr>
      <w:rFonts w:ascii="XO Thames" w:hAnsi="XO Thames"/>
      <w:i/>
      <w:sz w:val="24"/>
    </w:rPr>
  </w:style>
  <w:style w:type="character" w:styleId="Contents41">
    <w:name w:val="Contents 41"/>
    <w:link w:val="Contents42"/>
    <w:qFormat/>
    <w:rPr>
      <w:rFonts w:ascii="XO Thames" w:hAnsi="XO Thames"/>
      <w:sz w:val="28"/>
    </w:rPr>
  </w:style>
  <w:style w:type="character" w:styleId="Textbody">
    <w:name w:val="Text body"/>
    <w:qFormat/>
    <w:rPr/>
  </w:style>
  <w:style w:type="character" w:styleId="Heading21">
    <w:name w:val="Heading 21"/>
    <w:link w:val="Heading211"/>
    <w:qFormat/>
    <w:rPr>
      <w:rFonts w:ascii="Calibri Light" w:hAnsi="Calibri Light"/>
      <w:b/>
      <w:i/>
    </w:rPr>
  </w:style>
  <w:style w:type="character" w:styleId="Endnote">
    <w:name w:val="Endnote"/>
    <w:link w:val="Endnote2"/>
    <w:qFormat/>
    <w:rPr>
      <w:rFonts w:ascii="XO Thames" w:hAnsi="XO Thames"/>
      <w:sz w:val="22"/>
    </w:rPr>
  </w:style>
  <w:style w:type="character" w:styleId="Heading31">
    <w:name w:val="Heading 31"/>
    <w:qFormat/>
    <w:rPr/>
  </w:style>
  <w:style w:type="character" w:styleId="Footnote1">
    <w:name w:val="Footnote1"/>
    <w:link w:val="Footnote11"/>
    <w:qFormat/>
    <w:rPr>
      <w:rFonts w:ascii="XO Thames" w:hAnsi="XO Thames"/>
      <w:color w:val="000000"/>
      <w:spacing w:val="0"/>
      <w:sz w:val="22"/>
    </w:rPr>
  </w:style>
  <w:style w:type="character" w:styleId="Style9">
    <w:name w:val="Указатель"/>
    <w:link w:val="1112"/>
    <w:qFormat/>
    <w:rPr/>
  </w:style>
  <w:style w:type="character" w:styleId="Heading51">
    <w:name w:val="Heading 51"/>
    <w:link w:val="Heading511"/>
    <w:qFormat/>
    <w:rPr>
      <w:rFonts w:ascii="XO Thames" w:hAnsi="XO Thames"/>
      <w:b/>
      <w:sz w:val="22"/>
    </w:rPr>
  </w:style>
  <w:style w:type="character" w:styleId="Header1">
    <w:name w:val="Header1"/>
    <w:link w:val="Header11"/>
    <w:qFormat/>
    <w:rPr/>
  </w:style>
  <w:style w:type="character" w:styleId="Title1">
    <w:name w:val="Title1"/>
    <w:link w:val="Title11"/>
    <w:qFormat/>
    <w:rPr>
      <w:rFonts w:ascii="XO Thames" w:hAnsi="XO Thames"/>
      <w:b/>
      <w:caps/>
      <w:sz w:val="40"/>
    </w:rPr>
  </w:style>
  <w:style w:type="character" w:styleId="Contents8">
    <w:name w:val="Contents 8"/>
    <w:link w:val="Contents82"/>
    <w:qFormat/>
    <w:rPr>
      <w:rFonts w:ascii="XO Thames" w:hAnsi="XO Thames"/>
      <w:sz w:val="28"/>
    </w:rPr>
  </w:style>
  <w:style w:type="character" w:styleId="Contents1">
    <w:name w:val="Contents 1"/>
    <w:link w:val="Contents12"/>
    <w:qFormat/>
    <w:rPr>
      <w:rFonts w:ascii="XO Thames" w:hAnsi="XO Thames"/>
      <w:b/>
      <w:sz w:val="28"/>
    </w:rPr>
  </w:style>
  <w:style w:type="character" w:styleId="HeaderandFooter1">
    <w:name w:val="Header and Footer1"/>
    <w:link w:val="HeaderandFooter11"/>
    <w:qFormat/>
    <w:rPr/>
  </w:style>
  <w:style w:type="character" w:styleId="ListParagraph">
    <w:name w:val="List Paragraph"/>
    <w:link w:val="ListParagraph1"/>
    <w:qFormat/>
    <w:rPr/>
  </w:style>
  <w:style w:type="character" w:styleId="Heading311">
    <w:name w:val="Heading 311"/>
    <w:link w:val="Heading312"/>
    <w:qFormat/>
    <w:rPr/>
  </w:style>
  <w:style w:type="character" w:styleId="Contents9">
    <w:name w:val="Contents 9"/>
    <w:link w:val="Contents92"/>
    <w:qFormat/>
    <w:rPr>
      <w:rFonts w:ascii="XO Thames" w:hAnsi="XO Thames"/>
      <w:sz w:val="28"/>
    </w:rPr>
  </w:style>
  <w:style w:type="character" w:styleId="ConsPlusNormal1">
    <w:name w:val="ConsPlusNormal1"/>
    <w:link w:val="ConsPlusNormal11"/>
    <w:qFormat/>
    <w:rPr>
      <w:rFonts w:ascii="Calibri" w:hAnsi="Calibri"/>
      <w:color w:val="000000"/>
      <w:spacing w:val="0"/>
      <w:sz w:val="22"/>
    </w:rPr>
  </w:style>
  <w:style w:type="character" w:styleId="Contents3">
    <w:name w:val="Contents 3"/>
    <w:qFormat/>
    <w:rPr>
      <w:rFonts w:ascii="XO Thames" w:hAnsi="XO Thames"/>
      <w:color w:val="000000"/>
      <w:spacing w:val="0"/>
      <w:sz w:val="28"/>
    </w:rPr>
  </w:style>
  <w:style w:type="character" w:styleId="Footer1">
    <w:name w:val="Footer1"/>
    <w:qFormat/>
    <w:rPr/>
  </w:style>
  <w:style w:type="character" w:styleId="Textbody1">
    <w:name w:val="Text body1"/>
    <w:link w:val="Textbody2"/>
    <w:qFormat/>
    <w:rPr/>
  </w:style>
  <w:style w:type="character" w:styleId="Internetlink">
    <w:name w:val="Internet link"/>
    <w:link w:val="Internetlink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Endnote1">
    <w:name w:val="Endnote1"/>
    <w:link w:val="Endnote11"/>
    <w:qFormat/>
    <w:rPr>
      <w:rFonts w:ascii="XO Thames" w:hAnsi="XO Thames"/>
      <w:color w:val="000000"/>
      <w:spacing w:val="0"/>
      <w:sz w:val="22"/>
    </w:rPr>
  </w:style>
  <w:style w:type="character" w:styleId="Contents61">
    <w:name w:val="Contents 61"/>
    <w:link w:val="Contents62"/>
    <w:qFormat/>
    <w:rPr>
      <w:rFonts w:ascii="XO Thames" w:hAnsi="XO Thames"/>
      <w:sz w:val="28"/>
    </w:rPr>
  </w:style>
  <w:style w:type="character" w:styleId="Heading52">
    <w:name w:val="Heading 52"/>
    <w:qFormat/>
    <w:rPr>
      <w:rFonts w:ascii="XO Thames" w:hAnsi="XO Thames"/>
      <w:b/>
      <w:color w:val="000000"/>
      <w:spacing w:val="0"/>
      <w:sz w:val="22"/>
    </w:rPr>
  </w:style>
  <w:style w:type="character" w:styleId="Heading11">
    <w:name w:val="Heading 11"/>
    <w:qFormat/>
    <w:rPr>
      <w:rFonts w:ascii="Calibri Light" w:hAnsi="Calibri Light"/>
      <w:b/>
      <w:sz w:val="32"/>
    </w:rPr>
  </w:style>
  <w:style w:type="character" w:styleId="Style10">
    <w:name w:val="Содержимое врезки"/>
    <w:link w:val="16"/>
    <w:qFormat/>
    <w:rPr/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2"/>
    <w:qFormat/>
    <w:rPr>
      <w:rFonts w:ascii="XO Thames" w:hAnsi="XO Thames"/>
      <w:sz w:val="22"/>
    </w:rPr>
  </w:style>
  <w:style w:type="character" w:styleId="Contents1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Contents5">
    <w:name w:val="Contents 5"/>
    <w:link w:val="Contents52"/>
    <w:qFormat/>
    <w:rPr>
      <w:rFonts w:ascii="XO Thames" w:hAnsi="XO Thames"/>
      <w:sz w:val="28"/>
    </w:rPr>
  </w:style>
  <w:style w:type="character" w:styleId="112">
    <w:name w:val="Обычный11"/>
    <w:link w:val="1115"/>
    <w:qFormat/>
    <w:rPr>
      <w:rFonts w:ascii="Times New Roman" w:hAnsi="Times New Roman"/>
      <w:color w:val="000000"/>
      <w:spacing w:val="0"/>
      <w:sz w:val="28"/>
    </w:rPr>
  </w:style>
  <w:style w:type="character" w:styleId="Footer11">
    <w:name w:val="Footer11"/>
    <w:link w:val="Footer12"/>
    <w:qFormat/>
    <w:rPr/>
  </w:style>
  <w:style w:type="character" w:styleId="HeaderandFooter">
    <w:name w:val="Header and Footer"/>
    <w:link w:val="HeaderandFooter2"/>
    <w:qFormat/>
    <w:rPr>
      <w:rFonts w:ascii="XO Thames" w:hAnsi="XO Thames"/>
    </w:rPr>
  </w:style>
  <w:style w:type="character" w:styleId="Heading111">
    <w:name w:val="Heading 111"/>
    <w:link w:val="Heading112"/>
    <w:qFormat/>
    <w:rPr>
      <w:rFonts w:ascii="Calibri Light" w:hAnsi="Calibri Light"/>
      <w:b/>
      <w:sz w:val="32"/>
    </w:rPr>
  </w:style>
  <w:style w:type="character" w:styleId="List1">
    <w:name w:val="List1"/>
    <w:basedOn w:val="Textbody"/>
    <w:qFormat/>
    <w:rPr/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BalloonText1">
    <w:name w:val="Balloon Text1"/>
    <w:link w:val="BalloonText11"/>
    <w:qFormat/>
    <w:rPr>
      <w:rFonts w:ascii="Tahoma" w:hAnsi="Tahoma"/>
      <w:sz w:val="16"/>
    </w:rPr>
  </w:style>
  <w:style w:type="character" w:styleId="Heading41">
    <w:name w:val="Heading 41"/>
    <w:link w:val="Heading411"/>
    <w:qFormat/>
    <w:rPr>
      <w:rFonts w:ascii="XO Thames" w:hAnsi="XO Thames"/>
      <w:b/>
      <w:sz w:val="24"/>
    </w:rPr>
  </w:style>
  <w:style w:type="character" w:styleId="21">
    <w:name w:val="Гиперссылка21"/>
    <w:link w:val="21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1">
    <w:name w:val="Знак Знак Знак Знак1"/>
    <w:link w:val="115"/>
    <w:qFormat/>
    <w:rPr>
      <w:rFonts w:ascii="Verdana" w:hAnsi="Verdana"/>
      <w:sz w:val="20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12">
    <w:name w:val="Знак1"/>
    <w:link w:val="116"/>
    <w:qFormat/>
    <w:rPr>
      <w:rFonts w:ascii="Verdana" w:hAnsi="Verdana"/>
      <w:sz w:val="20"/>
    </w:rPr>
  </w:style>
  <w:style w:type="character" w:styleId="211">
    <w:name w:val="Основной шрифт абзаца21"/>
    <w:link w:val="2112"/>
    <w:qFormat/>
    <w:rPr>
      <w:rFonts w:ascii="Times New Roman" w:hAnsi="Times New Roman"/>
      <w:color w:val="000000"/>
      <w:spacing w:val="0"/>
      <w:sz w:val="20"/>
    </w:rPr>
  </w:style>
  <w:style w:type="character" w:styleId="Emphasis">
    <w:name w:val="Emphasis"/>
    <w:qFormat/>
    <w:rPr>
      <w:i/>
    </w:rPr>
  </w:style>
  <w:style w:type="character" w:styleId="Style11">
    <w:name w:val="Заголовок"/>
    <w:link w:val="1111"/>
    <w:qFormat/>
    <w:rPr>
      <w:rFonts w:ascii="Liberation Sans" w:hAnsi="Liberation Sans"/>
      <w:sz w:val="28"/>
    </w:rPr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Contents71">
    <w:name w:val="Contents 71"/>
    <w:link w:val="Contents72"/>
    <w:qFormat/>
    <w:rPr>
      <w:rFonts w:ascii="XO Thames" w:hAnsi="XO Thames"/>
      <w:sz w:val="28"/>
    </w:rPr>
  </w:style>
  <w:style w:type="character" w:styleId="Header2">
    <w:name w:val="Header2"/>
    <w:qFormat/>
    <w:rPr/>
  </w:style>
  <w:style w:type="character" w:styleId="Caption1">
    <w:name w:val="Caption1"/>
    <w:qFormat/>
    <w:rPr>
      <w:i/>
      <w:sz w:val="24"/>
    </w:rPr>
  </w:style>
  <w:style w:type="character" w:styleId="Subtitle2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Title2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2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Style12">
    <w:name w:val="Колонтитул"/>
    <w:link w:val="117"/>
    <w:qFormat/>
    <w:rPr>
      <w:rFonts w:ascii="XO Thames" w:hAnsi="XO Thames"/>
      <w:color w:val="000000"/>
      <w:spacing w:val="0"/>
      <w:sz w:val="20"/>
    </w:rPr>
  </w:style>
  <w:style w:type="character" w:styleId="Heading22">
    <w:name w:val="Heading 22"/>
    <w:qFormat/>
    <w:rPr>
      <w:rFonts w:ascii="Calibri Light" w:hAnsi="Calibri Light"/>
      <w:b/>
      <w:i/>
    </w:rPr>
  </w:style>
  <w:style w:type="character" w:styleId="Contents31">
    <w:name w:val="Contents 31"/>
    <w:link w:val="Contents32"/>
    <w:qFormat/>
    <w:rPr>
      <w:rFonts w:ascii="XO Thames" w:hAnsi="XO Thames"/>
      <w:sz w:val="28"/>
    </w:rPr>
  </w:style>
  <w:style w:type="paragraph" w:styleId="13">
    <w:name w:val="Заголовок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widowControl w:val="false"/>
      <w:jc w:val="both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14">
    <w:name w:val="Указатель1"/>
    <w:basedOn w:val="Normal"/>
    <w:qFormat/>
    <w:pPr>
      <w:suppressLineNumbers/>
    </w:pPr>
    <w:rPr>
      <w:rFonts w:cs="Lucida Sans"/>
    </w:rPr>
  </w:style>
  <w:style w:type="paragraph" w:styleId="113">
    <w:name w:val="Заголовок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4">
    <w:name w:val="Указатель11"/>
    <w:basedOn w:val="Normal"/>
    <w:qFormat/>
    <w:pPr>
      <w:suppressLineNumbers/>
    </w:pPr>
    <w:rPr>
      <w:rFonts w:cs="Lucida Sans"/>
    </w:rPr>
  </w:style>
  <w:style w:type="paragraph" w:styleId="1111">
    <w:name w:val="Заголовок111"/>
    <w:basedOn w:val="Normal"/>
    <w:next w:val="BodyText"/>
    <w:link w:val="Style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2">
    <w:name w:val="Указатель111"/>
    <w:basedOn w:val="Normal"/>
    <w:link w:val="Style9"/>
    <w:qFormat/>
    <w:pPr/>
    <w:rPr/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3">
    <w:name w:val="Основной шрифт абзаца111"/>
    <w:link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2">
    <w:name w:val="Contents 22"/>
    <w:link w:val="Contents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4">
    <w:name w:val="Гиперссылка111"/>
    <w:link w:val="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1">
    <w:name w:val="Default Paragraph Font11"/>
    <w:link w:val="DefaultParagraphFont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ubtitle11">
    <w:name w:val="Subtitle11"/>
    <w:link w:val="Subtitl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42">
    <w:name w:val="Contents 42"/>
    <w:link w:val="Contents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211">
    <w:name w:val="Heading 211"/>
    <w:link w:val="Heading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 Light" w:hAnsi="Calibri Light" w:eastAsia="NSimSun" w:cs="Lucida Sans"/>
      <w:b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Endnote2">
    <w:name w:val="Endnote2"/>
    <w:link w:val="End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Footnote11">
    <w:name w:val="Footnote11"/>
    <w:link w:val="Footnote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511">
    <w:name w:val="Heading 511"/>
    <w:link w:val="Heading5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er11">
    <w:name w:val="Header11"/>
    <w:link w:val="Heade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itle11">
    <w:name w:val="Title11"/>
    <w:link w:val="Title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82">
    <w:name w:val="Contents 82"/>
    <w:link w:val="Contents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12">
    <w:name w:val="Contents 12"/>
    <w:link w:val="Content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erandFooter11">
    <w:name w:val="Header and Footer11"/>
    <w:basedOn w:val="Normal"/>
    <w:link w:val="HeaderandFooter1"/>
    <w:qFormat/>
    <w:pPr/>
    <w:rPr/>
  </w:style>
  <w:style w:type="paragraph" w:styleId="ListParagraph1">
    <w:name w:val="List Paragraph1"/>
    <w:basedOn w:val="Normal"/>
    <w:link w:val="ListParagraph"/>
    <w:qFormat/>
    <w:pPr>
      <w:spacing w:before="0" w:after="0"/>
      <w:ind w:hanging="0" w:left="720"/>
      <w:contextualSpacing/>
    </w:pPr>
    <w:rPr/>
  </w:style>
  <w:style w:type="paragraph" w:styleId="Heading312">
    <w:name w:val="Heading 312"/>
    <w:link w:val="Heading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92">
    <w:name w:val="Contents 92"/>
    <w:link w:val="Contents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sPlusNormal11">
    <w:name w:val="ConsPlusNormal11"/>
    <w:link w:val="ConsPlusNormal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erandFooter2">
    <w:name w:val="Header and Footer2"/>
    <w:link w:val="Style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5">
    <w:name w:val="Колонтитул1"/>
    <w:basedOn w:val="Normal"/>
    <w:qFormat/>
    <w:pPr/>
    <w:rPr/>
  </w:style>
  <w:style w:type="paragraph" w:styleId="2">
    <w:name w:val="Колонтитул2"/>
    <w:basedOn w:val="Normal"/>
    <w:qFormat/>
    <w:pPr/>
    <w:rPr/>
  </w:style>
  <w:style w:type="paragraph" w:styleId="Footer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Textbody2">
    <w:name w:val="Text body2"/>
    <w:link w:val="Textbody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1">
    <w:name w:val="Internet link1"/>
    <w:link w:val="Internet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Endnote11">
    <w:name w:val="Endnote11"/>
    <w:link w:val="Endnote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62">
    <w:name w:val="Contents 62"/>
    <w:link w:val="Contents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6">
    <w:name w:val="Содержимое врезки1"/>
    <w:basedOn w:val="Normal"/>
    <w:link w:val="Style10"/>
    <w:qFormat/>
    <w:pPr/>
    <w:rPr/>
  </w:style>
  <w:style w:type="paragraph" w:styleId="Internetlink2">
    <w:name w:val="Internet 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2">
    <w:name w:val="Footnote2"/>
    <w:link w:val="Foot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2">
    <w:name w:val="Contents 52"/>
    <w:link w:val="Contents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5">
    <w:name w:val="Обычный111"/>
    <w:link w:val="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Footer12">
    <w:name w:val="Footer12"/>
    <w:link w:val="Foot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Heading112">
    <w:name w:val="Heading 112"/>
    <w:link w:val="Head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 Light" w:hAnsi="Calibri Light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1">
    <w:name w:val="Balloon Text11"/>
    <w:basedOn w:val="Normal"/>
    <w:link w:val="BalloonText1"/>
    <w:qFormat/>
    <w:pPr/>
    <w:rPr>
      <w:rFonts w:ascii="Tahoma" w:hAnsi="Tahoma"/>
      <w:sz w:val="16"/>
    </w:rPr>
  </w:style>
  <w:style w:type="paragraph" w:styleId="Heading411">
    <w:name w:val="Heading 411"/>
    <w:link w:val="Heading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2111">
    <w:name w:val="Гиперссылка211"/>
    <w:link w:val="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15">
    <w:name w:val="Знак Знак Знак Знак11"/>
    <w:basedOn w:val="Normal"/>
    <w:link w:val="1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6">
    <w:name w:val="Знак11"/>
    <w:basedOn w:val="Normal"/>
    <w:link w:val="12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2112">
    <w:name w:val="Основной шрифт абзаца211"/>
    <w:link w:val="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Emphasis1">
    <w:name w:val="Emphasi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0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2">
    <w:name w:val="Contents 72"/>
    <w:link w:val="Contents7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er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40" w:before="567" w:after="567"/>
      <w:ind w:hanging="0" w:left="0" w:right="0"/>
      <w:jc w:val="center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17">
    <w:name w:val="Колонтитул11"/>
    <w:link w:val="Style12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32">
    <w:name w:val="Contents 32"/>
    <w:link w:val="Contents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2">
    <w:name w:val="Содержимое врезки2"/>
    <w:basedOn w:val="Normal"/>
    <w:qFormat/>
    <w:pPr/>
    <w:rPr/>
  </w:style>
  <w:style w:type="paragraph" w:styleId="3">
    <w:name w:val="Содержимое врезки3"/>
    <w:basedOn w:val="Normal"/>
    <w:qFormat/>
    <w:pPr/>
    <w:rPr/>
  </w:style>
  <w:style w:type="table" w:default="1" w:styleId="Style_66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67">
    <w:name w:val="Table Grid"/>
    <w:basedOn w:val="Style_66"/>
    <w:rPr>
      <w:sz w:val="22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LibreOffice/24.2.3.2$Windows_X86_64 LibreOffice_project/433d9c2ded56988e8a90e6b2e771ee4e6a5ab2ba</Application>
  <AppVersion>15.0000</AppVersion>
  <Pages>2</Pages>
  <Words>507</Words>
  <Characters>3755</Characters>
  <CharactersWithSpaces>4247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2025-05-30T10:07:52Z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